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D1EC" w14:textId="77777777" w:rsidR="001E46A0" w:rsidRPr="001E46A0" w:rsidRDefault="003E1A32" w:rsidP="001E46A0">
      <w:pPr>
        <w:tabs>
          <w:tab w:val="left" w:pos="5245"/>
          <w:tab w:val="left" w:pos="5387"/>
          <w:tab w:val="left" w:pos="5670"/>
        </w:tabs>
        <w:spacing w:after="0"/>
        <w:ind w:left="5387" w:hanging="5387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E46A0" w:rsidRPr="001E46A0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47C718BC" w14:textId="77777777" w:rsidR="001E46A0" w:rsidRPr="001E46A0" w:rsidRDefault="001E46A0" w:rsidP="001E46A0">
      <w:pPr>
        <w:tabs>
          <w:tab w:val="left" w:pos="5245"/>
          <w:tab w:val="left" w:pos="5387"/>
          <w:tab w:val="left" w:pos="5670"/>
        </w:tabs>
        <w:spacing w:after="0"/>
        <w:ind w:left="5387" w:hanging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E46A0">
        <w:rPr>
          <w:rFonts w:ascii="Times New Roman" w:hAnsi="Times New Roman" w:cs="Times New Roman"/>
          <w:bCs/>
          <w:sz w:val="20"/>
          <w:szCs w:val="20"/>
        </w:rPr>
        <w:t>к Правилам присвоения</w:t>
      </w:r>
    </w:p>
    <w:p w14:paraId="3C0CC182" w14:textId="77777777" w:rsidR="001E46A0" w:rsidRPr="001E46A0" w:rsidRDefault="001E46A0" w:rsidP="001E46A0">
      <w:pPr>
        <w:tabs>
          <w:tab w:val="left" w:pos="5245"/>
          <w:tab w:val="left" w:pos="5387"/>
          <w:tab w:val="left" w:pos="5670"/>
        </w:tabs>
        <w:spacing w:after="0"/>
        <w:ind w:left="5387" w:hanging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E46A0">
        <w:rPr>
          <w:rFonts w:ascii="Times New Roman" w:hAnsi="Times New Roman" w:cs="Times New Roman"/>
          <w:bCs/>
          <w:sz w:val="20"/>
          <w:szCs w:val="20"/>
        </w:rPr>
        <w:t>ученых званий (ассоциированный</w:t>
      </w:r>
    </w:p>
    <w:p w14:paraId="609CADFF" w14:textId="0F6179E1" w:rsidR="001E46A0" w:rsidRPr="001E46A0" w:rsidRDefault="001E46A0" w:rsidP="001E46A0">
      <w:pPr>
        <w:tabs>
          <w:tab w:val="left" w:pos="5245"/>
          <w:tab w:val="left" w:pos="5387"/>
          <w:tab w:val="left" w:pos="5670"/>
        </w:tabs>
        <w:spacing w:after="0"/>
        <w:ind w:left="5387" w:hanging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E46A0">
        <w:rPr>
          <w:rFonts w:ascii="Times New Roman" w:hAnsi="Times New Roman" w:cs="Times New Roman"/>
          <w:bCs/>
          <w:sz w:val="20"/>
          <w:szCs w:val="20"/>
        </w:rPr>
        <w:t>профессор (доцент), профессор)</w:t>
      </w:r>
    </w:p>
    <w:p w14:paraId="41ED3189" w14:textId="298D7233" w:rsidR="0049781F" w:rsidRPr="00EE76CC" w:rsidRDefault="00EE76CC" w:rsidP="001E46A0">
      <w:pPr>
        <w:tabs>
          <w:tab w:val="left" w:pos="5245"/>
          <w:tab w:val="left" w:pos="5387"/>
          <w:tab w:val="left" w:pos="5670"/>
        </w:tabs>
        <w:ind w:left="5387" w:hanging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C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3923EB8" w14:textId="1F284004" w:rsidR="00EE76CC" w:rsidRPr="00EE76CC" w:rsidRDefault="003E1A32" w:rsidP="003E1A32">
      <w:pPr>
        <w:tabs>
          <w:tab w:val="left" w:pos="4962"/>
          <w:tab w:val="left" w:pos="5245"/>
          <w:tab w:val="left" w:pos="5387"/>
          <w:tab w:val="left" w:pos="567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E76CC" w:rsidRPr="00EE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соискателе ученого звания профессора </w:t>
      </w:r>
      <w:r w:rsidR="00384C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Бердикулова Максата Аманбе</w:t>
      </w:r>
      <w:proofErr w:type="spellStart"/>
      <w:r w:rsidR="00EE76CC" w:rsidRPr="00EE76CC">
        <w:rPr>
          <w:rFonts w:ascii="Times New Roman" w:hAnsi="Times New Roman" w:cs="Times New Roman"/>
          <w:color w:val="000000" w:themeColor="text1"/>
          <w:sz w:val="24"/>
          <w:szCs w:val="24"/>
        </w:rPr>
        <w:t>ковича</w:t>
      </w:r>
      <w:proofErr w:type="spellEnd"/>
      <w:r w:rsidR="00EE76CC" w:rsidRPr="00EE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E2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научному направлению </w:t>
      </w:r>
      <w:r w:rsidR="001E250A" w:rsidRPr="001E250A">
        <w:rPr>
          <w:rFonts w:ascii="Times New Roman" w:hAnsi="Times New Roman" w:cs="Times New Roman"/>
          <w:color w:val="000000" w:themeColor="text1"/>
          <w:sz w:val="24"/>
          <w:szCs w:val="24"/>
        </w:rPr>
        <w:t>40300 – «Ветеринария»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EE76CC" w14:paraId="6E020064" w14:textId="77777777" w:rsidTr="000D07BF">
        <w:tc>
          <w:tcPr>
            <w:tcW w:w="534" w:type="dxa"/>
          </w:tcPr>
          <w:p w14:paraId="5C7CEC8A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3F8B3FDA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4360" w:type="dxa"/>
          </w:tcPr>
          <w:p w14:paraId="5C1D603E" w14:textId="549624AB" w:rsidR="00EE76CC" w:rsidRPr="000D07BF" w:rsidRDefault="000D07BF" w:rsidP="00EE76CC">
            <w:pPr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Бердикулов Максат Аманбекович</w:t>
            </w:r>
          </w:p>
        </w:tc>
      </w:tr>
      <w:tr w:rsidR="00EE76CC" w14:paraId="4AC4C143" w14:textId="77777777" w:rsidTr="000D07BF">
        <w:tc>
          <w:tcPr>
            <w:tcW w:w="534" w:type="dxa"/>
          </w:tcPr>
          <w:p w14:paraId="5DD5DC4F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7071B6C3" w14:textId="5E8765F2" w:rsidR="00EE76CC" w:rsidRPr="003D1CF9" w:rsidRDefault="00EE76CC" w:rsidP="003D1C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(кандидата наук, доктора наук,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доктора философии (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доктора по профилю) или академическая степень доктора философии</w:t>
            </w:r>
            <w:r w:rsidR="00DF6411" w:rsidRPr="00DF6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доктора по профилю или степень доктора философии</w:t>
            </w:r>
            <w:r w:rsidR="00732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3D1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4360" w:type="dxa"/>
          </w:tcPr>
          <w:p w14:paraId="557D3E8A" w14:textId="77777777" w:rsidR="00025836" w:rsidRDefault="00025836" w:rsidP="00EE76CC">
            <w:pPr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51CF5" w14:textId="4B910ABA" w:rsidR="00EE76CC" w:rsidRDefault="003D1CF9" w:rsidP="007742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Кандидат ветеринарных </w:t>
            </w:r>
            <w:r w:rsidR="00774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наук, КД №</w:t>
            </w:r>
            <w:r w:rsidR="0063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0001394</w:t>
            </w:r>
            <w:r w:rsidR="00774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63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</w:t>
            </w:r>
            <w:r w:rsidR="0063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5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EE76CC" w:rsidRPr="005914AB" w14:paraId="20FF05D1" w14:textId="77777777" w:rsidTr="00E35E2D">
        <w:tc>
          <w:tcPr>
            <w:tcW w:w="534" w:type="dxa"/>
          </w:tcPr>
          <w:p w14:paraId="79371482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511AB204" w14:textId="77777777" w:rsidR="00EE76CC" w:rsidRDefault="003D1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Ученое звание, дата присвоения</w:t>
            </w:r>
          </w:p>
        </w:tc>
        <w:tc>
          <w:tcPr>
            <w:tcW w:w="4360" w:type="dxa"/>
          </w:tcPr>
          <w:p w14:paraId="082C27C9" w14:textId="1AB7736B" w:rsidR="00EE76CC" w:rsidRPr="00060162" w:rsidRDefault="00E35E2D" w:rsidP="00E35E2D">
            <w:pPr>
              <w:ind w:left="18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EE76CC" w14:paraId="5F9CBE6A" w14:textId="77777777" w:rsidTr="00E35E2D">
        <w:tc>
          <w:tcPr>
            <w:tcW w:w="534" w:type="dxa"/>
          </w:tcPr>
          <w:p w14:paraId="728ED473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C794273" w14:textId="77777777" w:rsidR="00EE76CC" w:rsidRDefault="003D1C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360" w:type="dxa"/>
            <w:vAlign w:val="center"/>
          </w:tcPr>
          <w:p w14:paraId="02F72D97" w14:textId="44103193" w:rsidR="00EE76CC" w:rsidRPr="00060162" w:rsidRDefault="00E35E2D" w:rsidP="00E35E2D">
            <w:pPr>
              <w:ind w:left="18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EE76CC" w14:paraId="297B6F0C" w14:textId="77777777" w:rsidTr="000D07BF">
        <w:tc>
          <w:tcPr>
            <w:tcW w:w="534" w:type="dxa"/>
          </w:tcPr>
          <w:p w14:paraId="1B41CA12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45F1CBB0" w14:textId="6AB1C054" w:rsidR="00EE76CC" w:rsidRPr="003266F1" w:rsidRDefault="00CB03DE" w:rsidP="00025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(дата и номер приказа о назначении на</w:t>
            </w:r>
            <w:r w:rsidR="0002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должность</w:t>
            </w:r>
            <w:r w:rsidR="00326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4360" w:type="dxa"/>
          </w:tcPr>
          <w:p w14:paraId="45109D9D" w14:textId="28B8AC20" w:rsidR="00EE76CC" w:rsidRDefault="00DD08D6" w:rsidP="00DF64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РГП на ПХВ «Национальный референтный центр по ветеринарии» Комитета ветеринарного контроля и надзора МСХ РК (</w:t>
            </w:r>
            <w:r w:rsidR="00DC0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 33 от</w:t>
            </w:r>
            <w:r w:rsidRPr="00DD0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03.11.2020 г.).</w:t>
            </w:r>
          </w:p>
        </w:tc>
      </w:tr>
      <w:tr w:rsidR="00EE76CC" w14:paraId="1B0EAAC7" w14:textId="77777777" w:rsidTr="000D07BF">
        <w:tc>
          <w:tcPr>
            <w:tcW w:w="534" w:type="dxa"/>
          </w:tcPr>
          <w:p w14:paraId="7F5FDF1F" w14:textId="4B063810" w:rsidR="00EE76CC" w:rsidRPr="00F274DD" w:rsidRDefault="00F27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14:paraId="1BFF9835" w14:textId="77777777" w:rsidR="00EE76CC" w:rsidRDefault="00B55613" w:rsidP="00B55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научной, научно</w:t>
            </w:r>
            <w:r w:rsidR="00316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педагогической деятельности</w:t>
            </w:r>
          </w:p>
        </w:tc>
        <w:tc>
          <w:tcPr>
            <w:tcW w:w="4360" w:type="dxa"/>
          </w:tcPr>
          <w:p w14:paraId="377EEB1E" w14:textId="45C85F6E" w:rsidR="00EE76CC" w:rsidRPr="00F11F6D" w:rsidRDefault="00F11F6D" w:rsidP="00BA22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29</w:t>
            </w:r>
            <w:r w:rsidR="003163D6"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лет</w:t>
            </w:r>
            <w:r w:rsidR="003163D6" w:rsidRPr="00A74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в должности</w:t>
            </w:r>
            <w:r w:rsidR="009E19B4" w:rsidRPr="00A74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5836" w:rsidRPr="00A74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генерального директора </w:t>
            </w:r>
            <w:r w:rsidR="00DB6B2A" w:rsidRPr="00DB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РГП на ПХВ «Национальный референтный центр по ветеринарии» Комитета ветеринарного контроля и надзора МСХ </w:t>
            </w:r>
            <w:r w:rsidR="00DB6B2A" w:rsidRPr="00A74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РК </w:t>
            </w:r>
            <w:r w:rsidR="00BA22BC"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 года 6 месяцев</w:t>
            </w:r>
            <w:r w:rsidRPr="00A74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EE76CC" w14:paraId="36B3D02A" w14:textId="77777777" w:rsidTr="000D07BF">
        <w:tc>
          <w:tcPr>
            <w:tcW w:w="534" w:type="dxa"/>
          </w:tcPr>
          <w:p w14:paraId="1CBA55B5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3376CA2F" w14:textId="77777777" w:rsidR="00EE76CC" w:rsidRDefault="00B55613" w:rsidP="00B55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научных статей после защиты диссертации, получения ученого звания ассоциированного профессора (доцента)</w:t>
            </w:r>
          </w:p>
        </w:tc>
        <w:tc>
          <w:tcPr>
            <w:tcW w:w="4360" w:type="dxa"/>
          </w:tcPr>
          <w:p w14:paraId="6F374736" w14:textId="1B7F8DFF" w:rsidR="00EE76CC" w:rsidRPr="00DF6411" w:rsidRDefault="00BA22BC" w:rsidP="006006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A2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научных статей после защиты диссертации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составляет-</w:t>
            </w:r>
            <w:r w:rsidR="009B7A8C"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</w:t>
            </w:r>
            <w:r w:rsidR="00CB48BB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изданиях,</w:t>
            </w:r>
            <w:r w:rsidR="009E19B4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5836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рекомендуемых </w:t>
            </w:r>
            <w:r w:rsidR="00025836" w:rsidRPr="00377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уполномоченным органом</w:t>
            </w:r>
            <w:r w:rsidR="00E152B0" w:rsidRPr="00377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006FB" w:rsidRPr="00377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B5823" w:rsidRPr="00377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77278"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9B7A8C"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D60E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 w:rsidR="00D60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из них </w:t>
            </w:r>
            <w:r w:rsidR="00D60E98" w:rsidRPr="00D60E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  <w:r w:rsidR="00D60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РИНЦ,</w:t>
            </w:r>
            <w:r w:rsidR="0060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025836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научных журналах, входящих в базы компании </w:t>
            </w:r>
            <w:r w:rsidR="00F07AB9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7AB9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Clarivate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Analytics (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Кларивэйт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Аналитикс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( Web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Science Core Collection,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Clarivate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Analytics (Вэб оф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Сайнс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Коллекшн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Кларивэйт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Аналитикс</w:t>
            </w:r>
            <w:proofErr w:type="spellEnd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 </w:t>
            </w:r>
            <w:proofErr w:type="spellStart"/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="00025836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25836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="00025836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A6125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JSTOR (ДЖЕЙСТОР)</w:t>
            </w:r>
            <w:r w:rsidR="00025836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93019"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9B7A8C" w:rsidRPr="00C373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600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П</w:t>
            </w:r>
            <w:r w:rsidR="00A5489F" w:rsidRPr="00175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атенты – </w:t>
            </w:r>
            <w:r w:rsidR="00A5489F" w:rsidRPr="00D60E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14</w:t>
            </w:r>
            <w:r w:rsidR="009D31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9D314E" w:rsidRPr="009D3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научные статьи в других научных изданиях</w:t>
            </w:r>
            <w:r w:rsidR="009D3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="009D314E" w:rsidRPr="009D31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41,</w:t>
            </w:r>
            <w:r w:rsidR="009D3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9D314E" w:rsidRPr="009D31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9D3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учебников и</w:t>
            </w:r>
            <w:r w:rsidR="009D314E" w:rsidRPr="009D31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6</w:t>
            </w:r>
            <w:r w:rsidR="009D3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 учебных пособий.</w:t>
            </w:r>
          </w:p>
        </w:tc>
      </w:tr>
      <w:tr w:rsidR="00EE76CC" w14:paraId="30DA1FAC" w14:textId="77777777" w:rsidTr="000D07BF">
        <w:tc>
          <w:tcPr>
            <w:tcW w:w="534" w:type="dxa"/>
          </w:tcPr>
          <w:p w14:paraId="2B45A451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29BD6EB9" w14:textId="77777777" w:rsidR="00EE76CC" w:rsidRDefault="00B55613" w:rsidP="00B55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изданных за последние </w:t>
            </w:r>
            <w:r w:rsidR="0002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лет монографий, учебников, единолично написанных учебных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методических) пособий</w:t>
            </w:r>
          </w:p>
        </w:tc>
        <w:tc>
          <w:tcPr>
            <w:tcW w:w="4360" w:type="dxa"/>
          </w:tcPr>
          <w:p w14:paraId="634D8AFE" w14:textId="0EA8EA01" w:rsidR="00A51AF4" w:rsidRPr="00A51AF4" w:rsidRDefault="006059A1" w:rsidP="006059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Издано </w:t>
            </w:r>
            <w:r w:rsidRPr="002232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60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учебника, один из которых рекомендован Республиканским учебно-методическим советом для присвоения грифа при издании (протокол № 6 от 25.06.2023 г.), а также </w:t>
            </w:r>
            <w:r w:rsidRPr="002232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05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пособия.</w:t>
            </w:r>
          </w:p>
        </w:tc>
      </w:tr>
      <w:tr w:rsidR="00EE76CC" w14:paraId="313023F9" w14:textId="77777777" w:rsidTr="000D07BF">
        <w:tc>
          <w:tcPr>
            <w:tcW w:w="534" w:type="dxa"/>
          </w:tcPr>
          <w:p w14:paraId="3AFDC474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34666E1C" w14:textId="5901169B" w:rsidR="00EE76CC" w:rsidRPr="00CB03DE" w:rsidRDefault="00B55613" w:rsidP="00CB03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Лица, защитившие диссертацию под 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руководством и имеющие ученую степень</w:t>
            </w:r>
            <w:r w:rsidR="00F2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(кандидата наук,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доктора наук, доктора философии</w:t>
            </w:r>
            <w:r w:rsidR="0026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доктора по профилю) или академическая степень доктора философии</w:t>
            </w:r>
            <w:r w:rsidR="0026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="0026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доктора по профилю или степень доктора философии</w:t>
            </w:r>
            <w:r w:rsidR="0026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CB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доктора по профилю</w:t>
            </w:r>
          </w:p>
        </w:tc>
        <w:tc>
          <w:tcPr>
            <w:tcW w:w="4360" w:type="dxa"/>
          </w:tcPr>
          <w:p w14:paraId="600B6BB7" w14:textId="2E17F8A3" w:rsidR="00CB48BB" w:rsidRPr="00E35E2D" w:rsidRDefault="00E35E2D" w:rsidP="00E35E2D">
            <w:pPr>
              <w:ind w:left="18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E76CC" w14:paraId="5AE2059A" w14:textId="77777777" w:rsidTr="000D07BF">
        <w:tc>
          <w:tcPr>
            <w:tcW w:w="534" w:type="dxa"/>
          </w:tcPr>
          <w:p w14:paraId="1EE0CECB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3169F23A" w14:textId="77777777" w:rsidR="00EE76CC" w:rsidRDefault="00CB03DE" w:rsidP="00CB03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360" w:type="dxa"/>
          </w:tcPr>
          <w:p w14:paraId="3397A001" w14:textId="0D6470D0" w:rsidR="003E1A32" w:rsidRPr="00E35E2D" w:rsidRDefault="00E35E2D" w:rsidP="00E35E2D">
            <w:pPr>
              <w:ind w:left="18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E76CC" w14:paraId="41E32D5C" w14:textId="77777777" w:rsidTr="000D07BF">
        <w:tc>
          <w:tcPr>
            <w:tcW w:w="534" w:type="dxa"/>
          </w:tcPr>
          <w:p w14:paraId="2BFDCA7A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424D6284" w14:textId="77777777" w:rsidR="00EE76CC" w:rsidRDefault="00CB03DE" w:rsidP="00CB03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360" w:type="dxa"/>
          </w:tcPr>
          <w:p w14:paraId="2DC944A3" w14:textId="7455E44C" w:rsidR="00EE76CC" w:rsidRPr="00E35E2D" w:rsidRDefault="00E35E2D" w:rsidP="00E35E2D">
            <w:pPr>
              <w:ind w:left="18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D5ADD29" w14:textId="297C7B39" w:rsidR="003E1A32" w:rsidRDefault="003E1A32" w:rsidP="00E35E2D">
            <w:pPr>
              <w:ind w:left="7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6CC" w14:paraId="34F8C8C9" w14:textId="77777777" w:rsidTr="000D07BF">
        <w:tc>
          <w:tcPr>
            <w:tcW w:w="534" w:type="dxa"/>
          </w:tcPr>
          <w:p w14:paraId="434FF67E" w14:textId="77777777" w:rsidR="00EE76CC" w:rsidRDefault="00EE7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14:paraId="6DB011F8" w14:textId="77777777" w:rsidR="00EE76CC" w:rsidRDefault="00CB03DE" w:rsidP="00CB03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360" w:type="dxa"/>
          </w:tcPr>
          <w:p w14:paraId="312F2D70" w14:textId="728A93DB" w:rsidR="00EE76CC" w:rsidRDefault="00320DF5" w:rsidP="00101C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320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1996 года и по сегодняшний день активно занимается научно-исследовательской деятельностью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DF6411" w:rsidRPr="00DF6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научного проекта грантового финансирования на 2024-2026 годы (ИРН АР23489181) и научного проекта программно-целевого финансирования на 2024-2026 годы (ИРН BR24993032) Комитета науки Министерства науки и высшего образования РК.</w:t>
            </w:r>
          </w:p>
          <w:p w14:paraId="3C8AD421" w14:textId="64300DB6" w:rsidR="00527D4C" w:rsidRDefault="00BE54C2" w:rsidP="00101C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Награжден ю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</w:t>
            </w:r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</w:t>
            </w:r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Тәуелсіздігіне</w:t>
            </w:r>
            <w:proofErr w:type="spellEnd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</w:t>
            </w:r>
            <w:proofErr w:type="spellEnd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D06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</w:t>
            </w:r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ым</w:t>
            </w:r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</w:t>
            </w:r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Ауыл</w:t>
            </w:r>
            <w:proofErr w:type="spellEnd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шаруашылығы</w:t>
            </w:r>
            <w:proofErr w:type="spellEnd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саласының</w:t>
            </w:r>
            <w:proofErr w:type="spellEnd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үздігі</w:t>
            </w:r>
            <w:proofErr w:type="spellEnd"/>
            <w:r w:rsidR="00527D4C" w:rsidRPr="00527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14:paraId="20DF7B11" w14:textId="77777777" w:rsidR="00EE76CC" w:rsidRDefault="00EE76CC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881056E" w14:textId="77777777" w:rsidR="00282D9C" w:rsidRDefault="00282D9C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4C769B8" w14:textId="77777777" w:rsidR="00B57687" w:rsidRPr="001C7248" w:rsidRDefault="00B640A1" w:rsidP="00B576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Ученый секретарь РГП </w:t>
      </w:r>
      <w:r w:rsidR="00B57687"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на ПХВ </w:t>
      </w:r>
    </w:p>
    <w:p w14:paraId="102C6968" w14:textId="77777777" w:rsidR="002F3350" w:rsidRPr="001C7248" w:rsidRDefault="00B640A1" w:rsidP="00B576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B57687"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Национальный референтный центр по ветеринарии</w:t>
      </w:r>
      <w:r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</w:p>
    <w:p w14:paraId="48BA2706" w14:textId="0B203E23" w:rsidR="00046672" w:rsidRPr="00046672" w:rsidRDefault="002F3350" w:rsidP="00B576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="006006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омитета ветеринарного контроля и надзора</w:t>
      </w:r>
      <w:r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9D5FA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МСХ РК</w:t>
      </w:r>
      <w:r w:rsidR="00B640A1"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</w:t>
      </w:r>
      <w:r w:rsidR="006006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</w:t>
      </w:r>
      <w:r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</w:t>
      </w:r>
      <w:r w:rsidR="00B640A1"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FB6DED"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="005B52AD"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FB6DED" w:rsidRPr="001C724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Т.Касеналина</w:t>
      </w:r>
    </w:p>
    <w:sectPr w:rsidR="00046672" w:rsidRPr="00046672" w:rsidSect="0004667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79C7"/>
    <w:multiLevelType w:val="hybridMultilevel"/>
    <w:tmpl w:val="A842622E"/>
    <w:lvl w:ilvl="0" w:tplc="6BAC1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620BB"/>
    <w:multiLevelType w:val="hybridMultilevel"/>
    <w:tmpl w:val="9BBE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2A22"/>
    <w:multiLevelType w:val="hybridMultilevel"/>
    <w:tmpl w:val="FECA376C"/>
    <w:lvl w:ilvl="0" w:tplc="6EFEA7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720C"/>
    <w:multiLevelType w:val="hybridMultilevel"/>
    <w:tmpl w:val="9CA02A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F6591"/>
    <w:multiLevelType w:val="hybridMultilevel"/>
    <w:tmpl w:val="06E8412E"/>
    <w:lvl w:ilvl="0" w:tplc="8796F2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0C6"/>
    <w:rsid w:val="00025836"/>
    <w:rsid w:val="000356DE"/>
    <w:rsid w:val="00046672"/>
    <w:rsid w:val="00060162"/>
    <w:rsid w:val="000A22D0"/>
    <w:rsid w:val="000D0619"/>
    <w:rsid w:val="000D07BF"/>
    <w:rsid w:val="00101C2A"/>
    <w:rsid w:val="001070C6"/>
    <w:rsid w:val="001578DE"/>
    <w:rsid w:val="00175DE2"/>
    <w:rsid w:val="00175E65"/>
    <w:rsid w:val="001C7248"/>
    <w:rsid w:val="001E250A"/>
    <w:rsid w:val="001E46A0"/>
    <w:rsid w:val="0020132E"/>
    <w:rsid w:val="00223243"/>
    <w:rsid w:val="0025240A"/>
    <w:rsid w:val="00264CD4"/>
    <w:rsid w:val="00282D9C"/>
    <w:rsid w:val="002A2B05"/>
    <w:rsid w:val="002F3350"/>
    <w:rsid w:val="003163D6"/>
    <w:rsid w:val="00320DF5"/>
    <w:rsid w:val="003266F1"/>
    <w:rsid w:val="00340B9A"/>
    <w:rsid w:val="00377278"/>
    <w:rsid w:val="00384CAE"/>
    <w:rsid w:val="003D1CF9"/>
    <w:rsid w:val="003E1A32"/>
    <w:rsid w:val="00493019"/>
    <w:rsid w:val="0049781F"/>
    <w:rsid w:val="004C795B"/>
    <w:rsid w:val="004F5F2D"/>
    <w:rsid w:val="00527D4C"/>
    <w:rsid w:val="0053610D"/>
    <w:rsid w:val="00557999"/>
    <w:rsid w:val="00561270"/>
    <w:rsid w:val="005914AB"/>
    <w:rsid w:val="005B4386"/>
    <w:rsid w:val="005B52AD"/>
    <w:rsid w:val="006006FB"/>
    <w:rsid w:val="006059A1"/>
    <w:rsid w:val="0063550A"/>
    <w:rsid w:val="00646871"/>
    <w:rsid w:val="006A093E"/>
    <w:rsid w:val="006E5413"/>
    <w:rsid w:val="00732472"/>
    <w:rsid w:val="00745B12"/>
    <w:rsid w:val="007742B6"/>
    <w:rsid w:val="007A6125"/>
    <w:rsid w:val="007B1039"/>
    <w:rsid w:val="007B5823"/>
    <w:rsid w:val="008278D0"/>
    <w:rsid w:val="008314BA"/>
    <w:rsid w:val="00846BBC"/>
    <w:rsid w:val="008D60BB"/>
    <w:rsid w:val="008D78D5"/>
    <w:rsid w:val="009B7A8C"/>
    <w:rsid w:val="009D314E"/>
    <w:rsid w:val="009D5FAF"/>
    <w:rsid w:val="009E0D33"/>
    <w:rsid w:val="009E19B4"/>
    <w:rsid w:val="00A51AF4"/>
    <w:rsid w:val="00A5489F"/>
    <w:rsid w:val="00A74AD6"/>
    <w:rsid w:val="00A80FFB"/>
    <w:rsid w:val="00A9475C"/>
    <w:rsid w:val="00AD5035"/>
    <w:rsid w:val="00B05057"/>
    <w:rsid w:val="00B55613"/>
    <w:rsid w:val="00B57687"/>
    <w:rsid w:val="00B640A1"/>
    <w:rsid w:val="00B758B1"/>
    <w:rsid w:val="00BA0FC5"/>
    <w:rsid w:val="00BA22BC"/>
    <w:rsid w:val="00BA5746"/>
    <w:rsid w:val="00BE54C2"/>
    <w:rsid w:val="00C37385"/>
    <w:rsid w:val="00CB03DE"/>
    <w:rsid w:val="00CB48BB"/>
    <w:rsid w:val="00D60E98"/>
    <w:rsid w:val="00DA0624"/>
    <w:rsid w:val="00DB6B2A"/>
    <w:rsid w:val="00DC04D5"/>
    <w:rsid w:val="00DC64E4"/>
    <w:rsid w:val="00DD08D6"/>
    <w:rsid w:val="00DF6411"/>
    <w:rsid w:val="00E1233F"/>
    <w:rsid w:val="00E152B0"/>
    <w:rsid w:val="00E35181"/>
    <w:rsid w:val="00E35E2D"/>
    <w:rsid w:val="00E83D0C"/>
    <w:rsid w:val="00EE76CC"/>
    <w:rsid w:val="00F07AB9"/>
    <w:rsid w:val="00F11F6D"/>
    <w:rsid w:val="00F274DD"/>
    <w:rsid w:val="00FB6DED"/>
    <w:rsid w:val="00FB6F9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9A81"/>
  <w15:docId w15:val="{2F190935-6931-4FD0-BD91-017D3E2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Хасенова</cp:lastModifiedBy>
  <cp:revision>105</cp:revision>
  <cp:lastPrinted>2021-04-27T04:38:00Z</cp:lastPrinted>
  <dcterms:created xsi:type="dcterms:W3CDTF">2021-02-09T04:26:00Z</dcterms:created>
  <dcterms:modified xsi:type="dcterms:W3CDTF">2025-06-05T07:02:00Z</dcterms:modified>
</cp:coreProperties>
</file>